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DB" w:rsidRPr="0081101C" w:rsidRDefault="004646DB" w:rsidP="004646DB">
      <w:pPr>
        <w:pStyle w:val="Heading2"/>
        <w:rPr>
          <w:color w:val="FFFFFF"/>
        </w:rPr>
      </w:pPr>
      <w:bookmarkStart w:id="0" w:name="_GoBack"/>
      <w:bookmarkEnd w:id="0"/>
      <w:r>
        <w:rPr>
          <w:color w:val="FFFFFF"/>
        </w:rPr>
        <w:t>CIE</w:t>
      </w:r>
      <w:r w:rsidRPr="0081101C">
        <w:rPr>
          <w:color w:val="FFFFFF"/>
        </w:rPr>
        <w:t xml:space="preserve"> (</w:t>
      </w:r>
      <w:r>
        <w:rPr>
          <w:color w:val="FFFFFF"/>
        </w:rPr>
        <w:t>2012</w:t>
      </w:r>
      <w:r w:rsidRPr="0081101C">
        <w:rPr>
          <w:color w:val="FFFFFF"/>
        </w:rPr>
        <w:t xml:space="preserve">) </w:t>
      </w:r>
      <w:r>
        <w:rPr>
          <w:color w:val="FFFFFF"/>
        </w:rPr>
        <w:t>10</w:t>
      </w:r>
      <w:r w:rsidRPr="0081101C">
        <w:rPr>
          <w:color w:val="FFFFFF"/>
        </w:rPr>
        <w:t xml:space="preserve">-deg </w:t>
      </w:r>
      <w:r>
        <w:rPr>
          <w:color w:val="FFFFFF"/>
        </w:rPr>
        <w:t xml:space="preserve">XYZ “physiologically-relevant” </w:t>
      </w:r>
      <w:r w:rsidRPr="0081101C">
        <w:rPr>
          <w:color w:val="FFFFFF"/>
        </w:rPr>
        <w:t>co</w:t>
      </w:r>
      <w:r>
        <w:rPr>
          <w:color w:val="FFFFFF"/>
        </w:rPr>
        <w:t>lour matching functions</w:t>
      </w:r>
    </w:p>
    <w:p w:rsidR="00847F2A" w:rsidRPr="00AD124F" w:rsidRDefault="00847F2A" w:rsidP="00847F2A">
      <w:pPr>
        <w:pStyle w:val="Heading3"/>
        <w:rPr>
          <w:rFonts w:ascii="Arial" w:hAnsi="Arial" w:cs="Arial"/>
          <w:b w:val="0"/>
          <w:color w:val="C00000"/>
        </w:rPr>
      </w:pPr>
      <w:r w:rsidRPr="00AD124F">
        <w:rPr>
          <w:rFonts w:ascii="Arial" w:hAnsi="Arial" w:cs="Arial"/>
          <w:b w:val="0"/>
          <w:color w:val="C00000"/>
        </w:rPr>
        <w:t>Data key</w:t>
      </w:r>
    </w:p>
    <w:p w:rsidR="00847F2A" w:rsidRDefault="00847F2A" w:rsidP="00847F2A">
      <w:pPr>
        <w:pStyle w:val="NormalWeb"/>
        <w:rPr>
          <w:b/>
          <w:bCs/>
          <w:color w:val="000000"/>
        </w:rPr>
      </w:pPr>
      <w:r>
        <w:rPr>
          <w:b/>
          <w:bCs/>
          <w:color w:val="000000"/>
        </w:rPr>
        <w:t>Columns</w:t>
      </w:r>
    </w:p>
    <w:p w:rsidR="00847F2A" w:rsidRPr="005D6117" w:rsidRDefault="00847F2A" w:rsidP="005D6117">
      <w:pPr>
        <w:numPr>
          <w:ilvl w:val="0"/>
          <w:numId w:val="4"/>
        </w:numPr>
      </w:pPr>
      <w:r w:rsidRPr="005D6117">
        <w:t xml:space="preserve">Wavelength (nm) </w:t>
      </w:r>
    </w:p>
    <w:bookmarkStart w:id="1" w:name="MTBlankEqn"/>
    <w:p w:rsidR="00296B86" w:rsidRPr="005D6117" w:rsidRDefault="00825A02" w:rsidP="00825A02">
      <w:pPr>
        <w:pStyle w:val="MTDisplayEquation"/>
        <w:tabs>
          <w:tab w:val="clear" w:pos="5040"/>
        </w:tabs>
      </w:pPr>
      <w:r w:rsidRPr="00825A02">
        <w:rPr>
          <w:position w:val="-14"/>
        </w:rPr>
        <w:object w:dxaOrig="7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19.8pt" o:ole="">
            <v:imagedata r:id="rId5" o:title=""/>
          </v:shape>
          <o:OLEObject Type="Embed" ProgID="Equation.DSMT4" ShapeID="_x0000_i1025" DrawAspect="Content" ObjectID="_1532244308" r:id="rId6"/>
        </w:object>
      </w:r>
      <w:bookmarkEnd w:id="1"/>
    </w:p>
    <w:p w:rsidR="00296B86" w:rsidRPr="005D6117" w:rsidRDefault="00825A02" w:rsidP="00825A02">
      <w:pPr>
        <w:pStyle w:val="MTDisplayEquation"/>
      </w:pPr>
      <w:r w:rsidRPr="00825A02">
        <w:rPr>
          <w:position w:val="-14"/>
        </w:rPr>
        <w:object w:dxaOrig="720" w:dyaOrig="400">
          <v:shape id="_x0000_i1026" type="#_x0000_t75" style="width:36.4pt;height:19.8pt" o:ole="">
            <v:imagedata r:id="rId7" o:title=""/>
          </v:shape>
          <o:OLEObject Type="Embed" ProgID="Equation.DSMT4" ShapeID="_x0000_i1026" DrawAspect="Content" ObjectID="_1532244309" r:id="rId8"/>
        </w:object>
      </w:r>
    </w:p>
    <w:p w:rsidR="00847F2A" w:rsidRPr="005D6117" w:rsidRDefault="00825A02" w:rsidP="00825A02">
      <w:pPr>
        <w:pStyle w:val="MTDisplayEquation"/>
      </w:pPr>
      <w:r w:rsidRPr="00825A02">
        <w:rPr>
          <w:position w:val="-14"/>
        </w:rPr>
        <w:object w:dxaOrig="700" w:dyaOrig="400">
          <v:shape id="_x0000_i1027" type="#_x0000_t75" style="width:34.8pt;height:19.8pt" o:ole="">
            <v:imagedata r:id="rId9" o:title=""/>
          </v:shape>
          <o:OLEObject Type="Embed" ProgID="Equation.DSMT4" ShapeID="_x0000_i1027" DrawAspect="Content" ObjectID="_1532244310" r:id="rId10"/>
        </w:object>
      </w:r>
    </w:p>
    <w:p w:rsidR="00847F2A" w:rsidRDefault="00E62B7F" w:rsidP="00847F2A">
      <w:pPr>
        <w:rPr>
          <w:color w:val="000000"/>
        </w:rPr>
      </w:pPr>
      <w:r>
        <w:rPr>
          <w:color w:val="000000"/>
        </w:rPr>
        <w:pict>
          <v:rect id="_x0000_i1028" style="width:0;height:3pt" o:hralign="center" o:hrstd="t" o:hrnoshade="t" o:hr="t" fillcolor="red" stroked="f"/>
        </w:pict>
      </w:r>
    </w:p>
    <w:p w:rsidR="00847F2A" w:rsidRPr="0081101C" w:rsidRDefault="00847F2A" w:rsidP="00847F2A">
      <w:pPr>
        <w:pStyle w:val="NormalWeb"/>
        <w:rPr>
          <w:rFonts w:ascii="Arial" w:hAnsi="Arial" w:cs="Arial"/>
          <w:color w:val="C00000"/>
          <w:sz w:val="27"/>
          <w:szCs w:val="27"/>
        </w:rPr>
      </w:pPr>
      <w:r w:rsidRPr="0081101C">
        <w:rPr>
          <w:rFonts w:ascii="Arial" w:hAnsi="Arial" w:cs="Arial"/>
          <w:color w:val="C00000"/>
          <w:sz w:val="27"/>
          <w:szCs w:val="27"/>
        </w:rPr>
        <w:t>Notes</w:t>
      </w:r>
    </w:p>
    <w:p w:rsidR="009143ED" w:rsidRDefault="009143ED" w:rsidP="009143ED">
      <w:pPr>
        <w:pStyle w:val="NormalWeb"/>
      </w:pPr>
      <w:r>
        <w:t xml:space="preserve">These 10-deg colour matching functions are linear transformations of the 10-deg cone fundamentals of Stockman &amp; Sharpe (2000), ratified by the CIE (2006) as the new “physiologically-relevant” fundamental CIE CMFs. The transformation produces a form similar to the CIE 1964 </w:t>
      </w:r>
      <w:r w:rsidRPr="00BE2A52">
        <w:t xml:space="preserve"> </w:t>
      </w:r>
      <w:r w:rsidR="00825A02" w:rsidRPr="00825A02">
        <w:rPr>
          <w:position w:val="-14"/>
        </w:rPr>
        <w:object w:dxaOrig="700" w:dyaOrig="400">
          <v:shape id="_x0000_i1029" type="#_x0000_t75" style="width:34.8pt;height:19.8pt" o:ole="">
            <v:imagedata r:id="rId11" o:title=""/>
          </v:shape>
          <o:OLEObject Type="Embed" ProgID="Equation.DSMT4" ShapeID="_x0000_i1029" DrawAspect="Content" ObjectID="_1532244311" r:id="rId12"/>
        </w:object>
      </w:r>
      <w:r>
        <w:t xml:space="preserve">, </w:t>
      </w:r>
      <w:r w:rsidR="00825A02" w:rsidRPr="00825A02">
        <w:rPr>
          <w:position w:val="-14"/>
        </w:rPr>
        <w:object w:dxaOrig="720" w:dyaOrig="400">
          <v:shape id="_x0000_i1030" type="#_x0000_t75" style="width:36.4pt;height:19.8pt" o:ole="">
            <v:imagedata r:id="rId13" o:title=""/>
          </v:shape>
          <o:OLEObject Type="Embed" ProgID="Equation.DSMT4" ShapeID="_x0000_i1030" DrawAspect="Content" ObjectID="_1532244312" r:id="rId14"/>
        </w:object>
      </w:r>
      <w:r>
        <w:t xml:space="preserve"> and </w:t>
      </w:r>
      <w:r w:rsidR="00825A02" w:rsidRPr="00825A02">
        <w:rPr>
          <w:position w:val="-14"/>
        </w:rPr>
        <w:object w:dxaOrig="700" w:dyaOrig="400">
          <v:shape id="_x0000_i1031" type="#_x0000_t75" style="width:34.8pt;height:19.8pt" o:ole="">
            <v:imagedata r:id="rId15" o:title=""/>
          </v:shape>
          <o:OLEObject Type="Embed" ProgID="Equation.DSMT4" ShapeID="_x0000_i1031" DrawAspect="Content" ObjectID="_1532244313" r:id="rId16"/>
        </w:object>
      </w:r>
      <w:r>
        <w:t xml:space="preserve"> CMFs, a form still favoured by many engineers and scientists.</w:t>
      </w:r>
    </w:p>
    <w:p w:rsidR="004646DB" w:rsidRDefault="00825A02" w:rsidP="004646DB">
      <w:pPr>
        <w:spacing w:before="240" w:beforeAutospacing="1" w:after="100" w:afterAutospacing="1"/>
        <w:rPr>
          <w:color w:val="FF0000"/>
        </w:rPr>
      </w:pPr>
      <w:r w:rsidRPr="00825A02">
        <w:rPr>
          <w:position w:val="-14"/>
        </w:rPr>
        <w:object w:dxaOrig="6619" w:dyaOrig="400">
          <v:shape id="_x0000_i1032" type="#_x0000_t75" style="width:330.75pt;height:19.8pt" o:ole="">
            <v:imagedata r:id="rId17" o:title=""/>
          </v:shape>
          <o:OLEObject Type="Embed" ProgID="Equation.DSMT4" ShapeID="_x0000_i1032" DrawAspect="Content" ObjectID="_1532244314" r:id="rId18"/>
        </w:object>
      </w:r>
      <w:r w:rsidR="004646DB">
        <w:rPr>
          <w:color w:val="FF0000"/>
        </w:rPr>
        <w:t xml:space="preserve"> </w:t>
      </w:r>
    </w:p>
    <w:p w:rsidR="004646DB" w:rsidRPr="00B511C4" w:rsidRDefault="00825A02" w:rsidP="00825A02">
      <w:pPr>
        <w:pStyle w:val="MTDisplayEquation"/>
        <w:numPr>
          <w:ilvl w:val="0"/>
          <w:numId w:val="0"/>
        </w:numPr>
        <w:rPr>
          <w:color w:val="FF0000"/>
        </w:rPr>
      </w:pPr>
      <w:r w:rsidRPr="00825A02">
        <w:rPr>
          <w:position w:val="-14"/>
        </w:rPr>
        <w:object w:dxaOrig="4800" w:dyaOrig="400">
          <v:shape id="_x0000_i1033" type="#_x0000_t75" style="width:239.75pt;height:19.8pt" o:ole="">
            <v:imagedata r:id="rId19" o:title=""/>
          </v:shape>
          <o:OLEObject Type="Embed" ProgID="Equation.DSMT4" ShapeID="_x0000_i1033" DrawAspect="Content" ObjectID="_1532244315" r:id="rId20"/>
        </w:object>
      </w:r>
    </w:p>
    <w:p w:rsidR="004646DB" w:rsidRDefault="00825A02" w:rsidP="004646DB">
      <w:pPr>
        <w:spacing w:before="240" w:beforeAutospacing="1" w:after="100" w:afterAutospacing="1"/>
        <w:rPr>
          <w:color w:val="FF0000"/>
        </w:rPr>
      </w:pPr>
      <w:r w:rsidRPr="00825A02">
        <w:rPr>
          <w:position w:val="-14"/>
        </w:rPr>
        <w:object w:dxaOrig="2700" w:dyaOrig="400">
          <v:shape id="_x0000_i1034" type="#_x0000_t75" style="width:135.3pt;height:19.8pt" o:ole="">
            <v:imagedata r:id="rId21" o:title=""/>
          </v:shape>
          <o:OLEObject Type="Embed" ProgID="Equation.DSMT4" ShapeID="_x0000_i1034" DrawAspect="Content" ObjectID="_1532244316" r:id="rId22"/>
        </w:object>
      </w:r>
      <w:r w:rsidR="004646DB">
        <w:rPr>
          <w:color w:val="FF0000"/>
        </w:rPr>
        <w:t xml:space="preserve"> </w:t>
      </w:r>
    </w:p>
    <w:p w:rsidR="004646DB" w:rsidRDefault="009143ED">
      <w:pPr>
        <w:pStyle w:val="NormalWeb"/>
      </w:pPr>
      <w:r>
        <w:t xml:space="preserve">where </w:t>
      </w:r>
      <w:r w:rsidR="00825A02" w:rsidRPr="00825A02">
        <w:rPr>
          <w:position w:val="-14"/>
        </w:rPr>
        <w:object w:dxaOrig="660" w:dyaOrig="400">
          <v:shape id="_x0000_i1035" type="#_x0000_t75" style="width:33.25pt;height:19.8pt" o:ole="">
            <v:imagedata r:id="rId23" o:title=""/>
          </v:shape>
          <o:OLEObject Type="Embed" ProgID="Equation.DSMT4" ShapeID="_x0000_i1035" DrawAspect="Content" ObjectID="_1532244317" r:id="rId24"/>
        </w:object>
      </w:r>
      <w:r>
        <w:t xml:space="preserve">, </w:t>
      </w:r>
      <w:r w:rsidR="00825A02" w:rsidRPr="00825A02">
        <w:rPr>
          <w:position w:val="-14"/>
        </w:rPr>
        <w:object w:dxaOrig="760" w:dyaOrig="400">
          <v:shape id="_x0000_i1036" type="#_x0000_t75" style="width:38pt;height:19.8pt" o:ole="">
            <v:imagedata r:id="rId25" o:title=""/>
          </v:shape>
          <o:OLEObject Type="Embed" ProgID="Equation.DSMT4" ShapeID="_x0000_i1036" DrawAspect="Content" ObjectID="_1532244318" r:id="rId26"/>
        </w:object>
      </w:r>
      <w:r>
        <w:t xml:space="preserve"> and </w:t>
      </w:r>
      <w:r w:rsidR="00825A02" w:rsidRPr="00825A02">
        <w:rPr>
          <w:position w:val="-14"/>
        </w:rPr>
        <w:object w:dxaOrig="680" w:dyaOrig="400">
          <v:shape id="_x0000_i1037" type="#_x0000_t75" style="width:34pt;height:19.8pt" o:ole="">
            <v:imagedata r:id="rId27" o:title=""/>
          </v:shape>
          <o:OLEObject Type="Embed" ProgID="Equation.DSMT4" ShapeID="_x0000_i1037" DrawAspect="Content" ObjectID="_1532244319" r:id="rId28"/>
        </w:object>
      </w:r>
      <w:r>
        <w:rPr>
          <w:color w:val="FF0000"/>
        </w:rPr>
        <w:t xml:space="preserve"> </w:t>
      </w:r>
      <w:r>
        <w:t>are the Stockman &amp; Sharpe (2000) or CIE (2006) 10-deg cone fundamentals tabulated here.</w:t>
      </w:r>
    </w:p>
    <w:p w:rsidR="009143ED" w:rsidRDefault="009143ED" w:rsidP="00825A02">
      <w:r>
        <w:t xml:space="preserve">The derivation of this transformation is straightforward. The </w:t>
      </w:r>
      <w:r w:rsidR="00825A02" w:rsidRPr="00825A02">
        <w:rPr>
          <w:position w:val="-14"/>
        </w:rPr>
        <w:object w:dxaOrig="720" w:dyaOrig="400">
          <v:shape id="_x0000_i1038" type="#_x0000_t75" style="width:36.4pt;height:19.8pt" o:ole="">
            <v:imagedata r:id="rId29" o:title=""/>
          </v:shape>
          <o:OLEObject Type="Embed" ProgID="Equation.DSMT4" ShapeID="_x0000_i1038" DrawAspect="Content" ObjectID="_1532244320" r:id="rId30"/>
        </w:object>
      </w:r>
      <w:r>
        <w:t xml:space="preserve"> </w:t>
      </w:r>
      <w:r w:rsidRPr="00BE2A52">
        <w:t>CMF</w:t>
      </w:r>
      <w:r>
        <w:t xml:space="preserve"> is </w:t>
      </w:r>
      <w:r w:rsidRPr="00BE2A52">
        <w:t xml:space="preserve">the luminous efficiency function </w:t>
      </w:r>
      <w:r>
        <w:t xml:space="preserve">originally </w:t>
      </w:r>
      <w:r w:rsidRPr="00BE2A52">
        <w:t xml:space="preserve">proposed by </w:t>
      </w:r>
      <w:r>
        <w:t xml:space="preserve">Sharpe </w:t>
      </w:r>
      <w:r w:rsidRPr="007F5AAD">
        <w:rPr>
          <w:i/>
        </w:rPr>
        <w:t>et al.</w:t>
      </w:r>
      <w:r>
        <w:t xml:space="preserve"> (2005), but then corrected (</w:t>
      </w:r>
      <w:r w:rsidRPr="00BE2A52">
        <w:t xml:space="preserve">Sharpe </w:t>
      </w:r>
      <w:r w:rsidRPr="00715DA2">
        <w:rPr>
          <w:i/>
        </w:rPr>
        <w:t>et al.</w:t>
      </w:r>
      <w:r>
        <w:t>,</w:t>
      </w:r>
      <w:r w:rsidRPr="00BE2A52">
        <w:t xml:space="preserve"> 2011). </w:t>
      </w:r>
      <w:r>
        <w:t xml:space="preserve"> The </w:t>
      </w:r>
      <w:r w:rsidR="00825A02" w:rsidRPr="00825A02">
        <w:rPr>
          <w:position w:val="-14"/>
        </w:rPr>
        <w:object w:dxaOrig="700" w:dyaOrig="400">
          <v:shape id="_x0000_i1039" type="#_x0000_t75" style="width:34.8pt;height:19.8pt" o:ole="">
            <v:imagedata r:id="rId31" o:title=""/>
          </v:shape>
          <o:OLEObject Type="Embed" ProgID="Equation.DSMT4" ShapeID="_x0000_i1039" DrawAspect="Content" ObjectID="_1532244321" r:id="rId32"/>
        </w:object>
      </w:r>
      <w:r>
        <w:t xml:space="preserve"> CMFs in the </w:t>
      </w:r>
      <w:r w:rsidR="00825A02" w:rsidRPr="00825A02">
        <w:rPr>
          <w:position w:val="-14"/>
        </w:rPr>
        <w:object w:dxaOrig="700" w:dyaOrig="400">
          <v:shape id="_x0000_i1040" type="#_x0000_t75" style="width:34.8pt;height:19.8pt" o:ole="">
            <v:imagedata r:id="rId33" o:title=""/>
          </v:shape>
          <o:OLEObject Type="Embed" ProgID="Equation.DSMT4" ShapeID="_x0000_i1040" DrawAspect="Content" ObjectID="_1532244322" r:id="rId34"/>
        </w:object>
      </w:r>
      <w:r>
        <w:t xml:space="preserve"> cone fundamental originally proposed by </w:t>
      </w:r>
      <w:r w:rsidRPr="00BE2A52">
        <w:t>Stockman, Sharpe &amp; Fach (1999)</w:t>
      </w:r>
      <w:r>
        <w:t xml:space="preserve"> scaled to have an equal integral to the </w:t>
      </w:r>
      <w:r w:rsidR="00825A02" w:rsidRPr="00825A02">
        <w:rPr>
          <w:position w:val="-14"/>
        </w:rPr>
        <w:object w:dxaOrig="720" w:dyaOrig="400">
          <v:shape id="_x0000_i1041" type="#_x0000_t75" style="width:36.4pt;height:19.8pt" o:ole="">
            <v:imagedata r:id="rId35" o:title=""/>
          </v:shape>
          <o:OLEObject Type="Embed" ProgID="Equation.DSMT4" ShapeID="_x0000_i1041" DrawAspect="Content" ObjectID="_1532244323" r:id="rId36"/>
        </w:object>
      </w:r>
      <w:r>
        <w:t xml:space="preserve"> CMF for an equal energy white. The definition of the </w:t>
      </w:r>
      <w:r w:rsidR="00825A02" w:rsidRPr="00825A02">
        <w:rPr>
          <w:position w:val="-14"/>
        </w:rPr>
        <w:object w:dxaOrig="700" w:dyaOrig="400">
          <v:shape id="_x0000_i1042" type="#_x0000_t75" style="width:34.8pt;height:19.8pt" o:ole="">
            <v:imagedata r:id="rId37" o:title=""/>
          </v:shape>
          <o:OLEObject Type="Embed" ProgID="Equation.DSMT4" ShapeID="_x0000_i1042" DrawAspect="Content" ObjectID="_1532244324" r:id="rId38"/>
        </w:object>
      </w:r>
      <w:r>
        <w:t xml:space="preserve"> CMF owes much to the efforts of Jan Henrik Wold. Its derivation depends on the following requirements:</w:t>
      </w:r>
    </w:p>
    <w:p w:rsidR="009143ED" w:rsidRDefault="009143ED" w:rsidP="009143ED"/>
    <w:p w:rsidR="009143ED" w:rsidRDefault="009143ED" w:rsidP="009143ED">
      <w:pPr>
        <w:pStyle w:val="ListParagraph"/>
        <w:numPr>
          <w:ilvl w:val="0"/>
          <w:numId w:val="5"/>
        </w:numPr>
      </w:pPr>
      <w:r>
        <w:t>Like the other CMFs, the values of</w:t>
      </w:r>
      <w:r w:rsidR="00BD4B99">
        <w:t xml:space="preserve"> </w:t>
      </w:r>
      <w:r w:rsidR="00825A02" w:rsidRPr="00825A02">
        <w:rPr>
          <w:position w:val="-14"/>
        </w:rPr>
        <w:object w:dxaOrig="700" w:dyaOrig="400">
          <v:shape id="_x0000_i1043" type="#_x0000_t75" style="width:34.8pt;height:19.8pt" o:ole="">
            <v:imagedata r:id="rId39" o:title=""/>
          </v:shape>
          <o:OLEObject Type="Embed" ProgID="Equation.DSMT4" ShapeID="_x0000_i1043" DrawAspect="Content" ObjectID="_1532244325" r:id="rId40"/>
        </w:object>
      </w:r>
      <w:r>
        <w:t xml:space="preserve"> are all positive.</w:t>
      </w:r>
    </w:p>
    <w:p w:rsidR="009143ED" w:rsidRDefault="009143ED" w:rsidP="009143ED">
      <w:pPr>
        <w:pStyle w:val="ListParagraph"/>
        <w:numPr>
          <w:ilvl w:val="0"/>
          <w:numId w:val="5"/>
        </w:numPr>
      </w:pPr>
      <w:r>
        <w:lastRenderedPageBreak/>
        <w:t>The integral of</w:t>
      </w:r>
      <w:r w:rsidR="00BD4B99">
        <w:t xml:space="preserve"> </w:t>
      </w:r>
      <w:r>
        <w:t xml:space="preserve"> </w:t>
      </w:r>
      <w:r w:rsidR="00825A02" w:rsidRPr="00825A02">
        <w:rPr>
          <w:position w:val="-14"/>
        </w:rPr>
        <w:object w:dxaOrig="700" w:dyaOrig="400">
          <v:shape id="_x0000_i1044" type="#_x0000_t75" style="width:34.8pt;height:19.8pt" o:ole="">
            <v:imagedata r:id="rId41" o:title=""/>
          </v:shape>
          <o:OLEObject Type="Embed" ProgID="Equation.DSMT4" ShapeID="_x0000_i1044" DrawAspect="Content" ObjectID="_1532244326" r:id="rId42"/>
        </w:object>
      </w:r>
      <w:r>
        <w:t xml:space="preserve"> for an equal energy white is identical to the integrals for </w:t>
      </w:r>
      <w:r w:rsidR="00825A02" w:rsidRPr="00825A02">
        <w:rPr>
          <w:position w:val="-14"/>
        </w:rPr>
        <w:object w:dxaOrig="720" w:dyaOrig="400">
          <v:shape id="_x0000_i1045" type="#_x0000_t75" style="width:36.4pt;height:19.8pt" o:ole="">
            <v:imagedata r:id="rId43" o:title=""/>
          </v:shape>
          <o:OLEObject Type="Embed" ProgID="Equation.DSMT4" ShapeID="_x0000_i1045" DrawAspect="Content" ObjectID="_1532244327" r:id="rId44"/>
        </w:object>
      </w:r>
      <w:r>
        <w:t xml:space="preserve"> and </w:t>
      </w:r>
      <w:r w:rsidR="00825A02" w:rsidRPr="00825A02">
        <w:rPr>
          <w:position w:val="-14"/>
        </w:rPr>
        <w:object w:dxaOrig="700" w:dyaOrig="400">
          <v:shape id="_x0000_i1046" type="#_x0000_t75" style="width:34.8pt;height:19.8pt" o:ole="">
            <v:imagedata r:id="rId45" o:title=""/>
          </v:shape>
          <o:OLEObject Type="Embed" ProgID="Equation.DSMT4" ShapeID="_x0000_i1046" DrawAspect="Content" ObjectID="_1532244328" r:id="rId46"/>
        </w:object>
      </w:r>
      <w:r>
        <w:t>.</w:t>
      </w:r>
    </w:p>
    <w:p w:rsidR="009143ED" w:rsidRDefault="009143ED" w:rsidP="009143ED">
      <w:pPr>
        <w:pStyle w:val="ListParagraph"/>
        <w:numPr>
          <w:ilvl w:val="0"/>
          <w:numId w:val="5"/>
        </w:numPr>
      </w:pPr>
      <w:r>
        <w:t>The coefficients of the transformation that yields</w:t>
      </w:r>
      <w:r w:rsidR="00BD4B99">
        <w:t xml:space="preserve"> </w:t>
      </w:r>
      <w:r>
        <w:t xml:space="preserve"> </w:t>
      </w:r>
      <w:r w:rsidR="00825A02" w:rsidRPr="00825A02">
        <w:rPr>
          <w:position w:val="-14"/>
        </w:rPr>
        <w:object w:dxaOrig="700" w:dyaOrig="400">
          <v:shape id="_x0000_i1047" type="#_x0000_t75" style="width:34.8pt;height:19.8pt" o:ole="">
            <v:imagedata r:id="rId47" o:title=""/>
          </v:shape>
          <o:OLEObject Type="Embed" ProgID="Equation.DSMT4" ShapeID="_x0000_i1047" DrawAspect="Content" ObjectID="_1532244329" r:id="rId48"/>
        </w:object>
      </w:r>
      <w:r>
        <w:t xml:space="preserve"> are optimized to minimize the Euclidian differences between the resulting </w:t>
      </w:r>
      <w:r w:rsidR="00825A02" w:rsidRPr="00825A02">
        <w:rPr>
          <w:position w:val="-14"/>
        </w:rPr>
        <w:object w:dxaOrig="700" w:dyaOrig="400">
          <v:shape id="_x0000_i1048" type="#_x0000_t75" style="width:34.8pt;height:19.8pt" o:ole="">
            <v:imagedata r:id="rId49" o:title=""/>
          </v:shape>
          <o:OLEObject Type="Embed" ProgID="Equation.DSMT4" ShapeID="_x0000_i1048" DrawAspect="Content" ObjectID="_1532244330" r:id="rId50"/>
        </w:object>
      </w:r>
      <w:r>
        <w:t xml:space="preserve">, </w:t>
      </w:r>
      <w:r w:rsidR="00825A02" w:rsidRPr="00825A02">
        <w:rPr>
          <w:position w:val="-14"/>
        </w:rPr>
        <w:object w:dxaOrig="720" w:dyaOrig="400">
          <v:shape id="_x0000_i1049" type="#_x0000_t75" style="width:36.4pt;height:19.8pt" o:ole="">
            <v:imagedata r:id="rId51" o:title=""/>
          </v:shape>
          <o:OLEObject Type="Embed" ProgID="Equation.DSMT4" ShapeID="_x0000_i1049" DrawAspect="Content" ObjectID="_1532244331" r:id="rId52"/>
        </w:object>
      </w:r>
      <w:r>
        <w:t xml:space="preserve"> and </w:t>
      </w:r>
      <w:r w:rsidR="00825A02" w:rsidRPr="00825A02">
        <w:rPr>
          <w:position w:val="-14"/>
        </w:rPr>
        <w:object w:dxaOrig="700" w:dyaOrig="400">
          <v:shape id="_x0000_i1050" type="#_x0000_t75" style="width:34.8pt;height:19.8pt" o:ole="">
            <v:imagedata r:id="rId53" o:title=""/>
          </v:shape>
          <o:OLEObject Type="Embed" ProgID="Equation.DSMT4" ShapeID="_x0000_i1050" DrawAspect="Content" ObjectID="_1532244332" r:id="rId54"/>
        </w:object>
      </w:r>
      <w:r>
        <w:t xml:space="preserve"> chromaticity coordinates and the CIE 19</w:t>
      </w:r>
      <w:r w:rsidR="002D7241">
        <w:t>64</w:t>
      </w:r>
      <w:r>
        <w:t xml:space="preserve"> </w:t>
      </w:r>
      <w:r w:rsidR="00825A02" w:rsidRPr="00825A02">
        <w:rPr>
          <w:position w:val="-14"/>
        </w:rPr>
        <w:object w:dxaOrig="700" w:dyaOrig="400">
          <v:shape id="_x0000_i1051" type="#_x0000_t75" style="width:34.8pt;height:19.8pt" o:ole="">
            <v:imagedata r:id="rId55" o:title=""/>
          </v:shape>
          <o:OLEObject Type="Embed" ProgID="Equation.DSMT4" ShapeID="_x0000_i1051" DrawAspect="Content" ObjectID="_1532244333" r:id="rId56"/>
        </w:object>
      </w:r>
      <w:r>
        <w:t xml:space="preserve">, </w:t>
      </w:r>
      <w:r w:rsidR="00825A02" w:rsidRPr="00825A02">
        <w:rPr>
          <w:position w:val="-14"/>
        </w:rPr>
        <w:object w:dxaOrig="720" w:dyaOrig="400">
          <v:shape id="_x0000_i1052" type="#_x0000_t75" style="width:36.4pt;height:19.8pt" o:ole="">
            <v:imagedata r:id="rId57" o:title=""/>
          </v:shape>
          <o:OLEObject Type="Embed" ProgID="Equation.DSMT4" ShapeID="_x0000_i1052" DrawAspect="Content" ObjectID="_1532244334" r:id="rId58"/>
        </w:object>
      </w:r>
      <w:r>
        <w:t xml:space="preserve"> and </w:t>
      </w:r>
      <w:r w:rsidR="00825A02" w:rsidRPr="00825A02">
        <w:rPr>
          <w:position w:val="-14"/>
        </w:rPr>
        <w:object w:dxaOrig="700" w:dyaOrig="400">
          <v:shape id="_x0000_i1053" type="#_x0000_t75" style="width:34.8pt;height:19.8pt" o:ole="">
            <v:imagedata r:id="rId59" o:title=""/>
          </v:shape>
          <o:OLEObject Type="Embed" ProgID="Equation.DSMT4" ShapeID="_x0000_i1053" DrawAspect="Content" ObjectID="_1532244335" r:id="rId60"/>
        </w:object>
      </w:r>
      <w:r>
        <w:t xml:space="preserve"> chromaticity coordinates.</w:t>
      </w:r>
    </w:p>
    <w:p w:rsidR="009143ED" w:rsidRDefault="009143ED" w:rsidP="009143ED">
      <w:pPr>
        <w:pStyle w:val="NormalWeb"/>
      </w:pPr>
      <w:r>
        <w:t>F</w:t>
      </w:r>
      <w:r w:rsidRPr="00BE2A52">
        <w:t>ollowing the usual convention</w:t>
      </w:r>
      <w:r>
        <w:t xml:space="preserve">, </w:t>
      </w:r>
      <w:r w:rsidR="00825A02" w:rsidRPr="00825A02">
        <w:rPr>
          <w:position w:val="-14"/>
        </w:rPr>
        <w:object w:dxaOrig="700" w:dyaOrig="400">
          <v:shape id="_x0000_i1054" type="#_x0000_t75" style="width:34.8pt;height:19.8pt" o:ole="">
            <v:imagedata r:id="rId61" o:title=""/>
          </v:shape>
          <o:OLEObject Type="Embed" ProgID="Equation.DSMT4" ShapeID="_x0000_i1054" DrawAspect="Content" ObjectID="_1532244336" r:id="rId62"/>
        </w:object>
      </w:r>
      <w:r>
        <w:t xml:space="preserve">, </w:t>
      </w:r>
      <w:r w:rsidR="00825A02" w:rsidRPr="00825A02">
        <w:rPr>
          <w:position w:val="-14"/>
        </w:rPr>
        <w:object w:dxaOrig="720" w:dyaOrig="400">
          <v:shape id="_x0000_i1055" type="#_x0000_t75" style="width:36.4pt;height:19.8pt" o:ole="">
            <v:imagedata r:id="rId63" o:title=""/>
          </v:shape>
          <o:OLEObject Type="Embed" ProgID="Equation.DSMT4" ShapeID="_x0000_i1055" DrawAspect="Content" ObjectID="_1532244337" r:id="rId64"/>
        </w:object>
      </w:r>
      <w:r>
        <w:t xml:space="preserve"> and </w:t>
      </w:r>
      <w:r w:rsidR="00825A02" w:rsidRPr="00825A02">
        <w:rPr>
          <w:position w:val="-14"/>
        </w:rPr>
        <w:object w:dxaOrig="700" w:dyaOrig="400">
          <v:shape id="_x0000_i1056" type="#_x0000_t75" style="width:34.8pt;height:19.8pt" o:ole="">
            <v:imagedata r:id="rId65" o:title=""/>
          </v:shape>
          <o:OLEObject Type="Embed" ProgID="Equation.DSMT4" ShapeID="_x0000_i1056" DrawAspect="Content" ObjectID="_1532244338" r:id="rId66"/>
        </w:object>
      </w:r>
      <w:r>
        <w:t xml:space="preserve"> </w:t>
      </w:r>
      <w:r w:rsidRPr="00BE2A52">
        <w:t>are</w:t>
      </w:r>
      <w:r>
        <w:t xml:space="preserve"> </w:t>
      </w:r>
      <w:r w:rsidRPr="00BE2A52">
        <w:t>given in units of energy.</w:t>
      </w:r>
    </w:p>
    <w:p w:rsidR="009143ED" w:rsidRDefault="009143ED" w:rsidP="009143ED">
      <w:pPr>
        <w:pStyle w:val="NormalWeb"/>
      </w:pPr>
      <w:r>
        <w:t xml:space="preserve">The proposed CIE standard is also much concerned about defining the precision of the CMFs. Thus, the coefficients of the transformation are defined to 8 decimal places (as in the equations above), the results in linear (energy) units </w:t>
      </w:r>
      <w:r w:rsidRPr="00842030">
        <w:t xml:space="preserve">are tabulated </w:t>
      </w:r>
      <w:r>
        <w:t>to</w:t>
      </w:r>
      <w:r w:rsidRPr="00842030">
        <w:t xml:space="preserve"> 7 significant figures</w:t>
      </w:r>
      <w:r>
        <w:t xml:space="preserve">, and the CMFs </w:t>
      </w:r>
      <w:r w:rsidR="002D7241">
        <w:t>are</w:t>
      </w:r>
      <w:r>
        <w:t xml:space="preserve"> calculated from the cone fundamentals given in linear (energy)</w:t>
      </w:r>
      <w:r w:rsidRPr="00842030">
        <w:t xml:space="preserve"> </w:t>
      </w:r>
      <w:r>
        <w:t>units to 9 sf</w:t>
      </w:r>
      <w:r w:rsidR="002D7241">
        <w:t xml:space="preserve"> given here</w:t>
      </w:r>
      <w:r>
        <w:t>.  In addition, the standard is strictly only for the CMFs tabulated at 1-nm steps, since only at this step-size are the integrals of the three CMFs precisely equal.</w:t>
      </w:r>
    </w:p>
    <w:p w:rsidR="009143ED" w:rsidRDefault="009143ED" w:rsidP="009143ED">
      <w:r>
        <w:t>The functions are provided here at 0.1, 1 and 5 nm steps.</w:t>
      </w:r>
    </w:p>
    <w:p w:rsidR="009B743D" w:rsidRDefault="009143ED">
      <w:pPr>
        <w:pStyle w:val="NormalWeb"/>
      </w:pPr>
      <w:r w:rsidRPr="00BE2A52">
        <w:t>Please note that these are proposals that have yet to be ratified by the full TC 1-36</w:t>
      </w:r>
      <w:r>
        <w:t xml:space="preserve"> committee or the CIE</w:t>
      </w:r>
      <w:r w:rsidRPr="00BE2A52">
        <w:t>.</w:t>
      </w:r>
    </w:p>
    <w:p w:rsidR="00847F2A" w:rsidRDefault="00E62B7F" w:rsidP="00847F2A">
      <w:pPr>
        <w:pStyle w:val="NormalWeb"/>
        <w:rPr>
          <w:color w:val="000000"/>
        </w:rPr>
      </w:pPr>
      <w:r>
        <w:rPr>
          <w:color w:val="000000"/>
        </w:rPr>
        <w:pict>
          <v:rect id="_x0000_i1057" style="width:0;height:3pt" o:hralign="center" o:hrstd="t" o:hrnoshade="t" o:hr="t" fillcolor="red" stroked="f"/>
        </w:pict>
      </w:r>
    </w:p>
    <w:p w:rsidR="00847F2A" w:rsidRPr="00B56C6B" w:rsidRDefault="00847F2A" w:rsidP="00847F2A">
      <w:pPr>
        <w:pStyle w:val="NormalWeb"/>
        <w:rPr>
          <w:color w:val="000000"/>
        </w:rPr>
      </w:pPr>
      <w:r w:rsidRPr="00B56C6B">
        <w:rPr>
          <w:rFonts w:ascii="Arial" w:hAnsi="Arial" w:cs="Arial"/>
          <w:color w:val="C00000"/>
          <w:sz w:val="27"/>
          <w:szCs w:val="27"/>
        </w:rPr>
        <w:t>References</w:t>
      </w:r>
    </w:p>
    <w:p w:rsidR="009B743D" w:rsidRDefault="009B743D">
      <w:pPr>
        <w:pStyle w:val="NormalWeb"/>
      </w:pPr>
      <w:r>
        <w:t>CIE Proceedings (1964) Vienna Session, 1963, Vol. B, pp. 209-220 (Committee Report E-1.4.1), Bureau Central de la CIE, Paris</w:t>
      </w:r>
    </w:p>
    <w:p w:rsidR="002D7241" w:rsidRDefault="002D7241" w:rsidP="002D7241">
      <w:pPr>
        <w:pStyle w:val="NormalWeb"/>
        <w:rPr>
          <w:color w:val="000000"/>
        </w:rPr>
      </w:pPr>
      <w:r>
        <w:rPr>
          <w:color w:val="000000"/>
        </w:rPr>
        <w:t xml:space="preserve">Stockman, A., Sharpe, L. T., &amp; Fach, C. C. (1999). The spectral sensitivity of the human short-wavelength cones. </w:t>
      </w:r>
      <w:r>
        <w:rPr>
          <w:i/>
          <w:iCs/>
          <w:color w:val="000000"/>
        </w:rPr>
        <w:t xml:space="preserve">Vision Research, 39, </w:t>
      </w:r>
      <w:r>
        <w:rPr>
          <w:color w:val="000000"/>
        </w:rPr>
        <w:t>2901-2927.</w:t>
      </w:r>
    </w:p>
    <w:p w:rsidR="002D7241" w:rsidRDefault="002D7241" w:rsidP="002D7241">
      <w:pPr>
        <w:pStyle w:val="NormalWeb"/>
        <w:rPr>
          <w:color w:val="000000"/>
        </w:rPr>
      </w:pPr>
      <w:r>
        <w:rPr>
          <w:color w:val="000000"/>
        </w:rPr>
        <w:t xml:space="preserve">Stockman, A., &amp; Sharpe, L. T. (2000). Spectral sensitivities of the middle- and long-wavelength sensitive cones derived from measurements in observers of known genotype. </w:t>
      </w:r>
      <w:r>
        <w:rPr>
          <w:i/>
          <w:iCs/>
          <w:color w:val="000000"/>
        </w:rPr>
        <w:t>Vision Research</w:t>
      </w:r>
      <w:r>
        <w:rPr>
          <w:color w:val="000000"/>
        </w:rPr>
        <w:t>,</w:t>
      </w:r>
      <w:r>
        <w:rPr>
          <w:rStyle w:val="Emphasis"/>
          <w:color w:val="000000"/>
        </w:rPr>
        <w:t xml:space="preserve"> 40,</w:t>
      </w:r>
      <w:r>
        <w:rPr>
          <w:color w:val="000000"/>
        </w:rPr>
        <w:t xml:space="preserve"> 1711-1737.</w:t>
      </w:r>
    </w:p>
    <w:p w:rsidR="002D7241" w:rsidRDefault="002D7241" w:rsidP="002D7241">
      <w:pPr>
        <w:pStyle w:val="NormalWeb"/>
        <w:rPr>
          <w:color w:val="000000"/>
        </w:rPr>
      </w:pPr>
      <w:r>
        <w:rPr>
          <w:color w:val="000000"/>
        </w:rPr>
        <w:t>Sharpe, L. T., Stockman, A., Jagla, W. &amp; J</w:t>
      </w:r>
      <w:r>
        <w:rPr>
          <w:color w:val="000000"/>
          <w:lang w:val="de-DE"/>
        </w:rPr>
        <w:t>ägle, H.</w:t>
      </w:r>
      <w:r>
        <w:rPr>
          <w:color w:val="000000"/>
        </w:rPr>
        <w:t xml:space="preserve">(2005). A luminous efficiency function, </w:t>
      </w:r>
      <w:r>
        <w:rPr>
          <w:i/>
          <w:iCs/>
          <w:color w:val="000000"/>
        </w:rPr>
        <w:t>V*</w:t>
      </w:r>
      <w:r>
        <w:rPr>
          <w:color w:val="000000"/>
        </w:rPr>
        <w:t>(</w:t>
      </w:r>
      <w:r>
        <w:rPr>
          <w:rStyle w:val="mpentity1"/>
          <w:color w:val="000000"/>
        </w:rPr>
        <w:t>λ</w:t>
      </w:r>
      <w:r>
        <w:rPr>
          <w:color w:val="000000"/>
        </w:rPr>
        <w:t xml:space="preserve">), for daylight adaptation. </w:t>
      </w:r>
      <w:r>
        <w:rPr>
          <w:i/>
          <w:iCs/>
          <w:color w:val="000000"/>
        </w:rPr>
        <w:t>Journal of Vision, 5, 948-968</w:t>
      </w:r>
      <w:r>
        <w:rPr>
          <w:color w:val="000000"/>
        </w:rPr>
        <w:t>.</w:t>
      </w:r>
    </w:p>
    <w:p w:rsidR="002D7241" w:rsidRDefault="002D7241" w:rsidP="002D7241">
      <w:pPr>
        <w:pStyle w:val="NormalWeb"/>
        <w:rPr>
          <w:color w:val="000000"/>
        </w:rPr>
      </w:pPr>
      <w:r>
        <w:rPr>
          <w:color w:val="000000"/>
        </w:rPr>
        <w:t xml:space="preserve">CIE (2006). Fundamental chromaticity diagram with physiological axes. </w:t>
      </w:r>
      <w:r>
        <w:rPr>
          <w:noProof/>
          <w:color w:val="000000"/>
          <w:lang w:val="en-GB" w:eastAsia="en-GB"/>
        </w:rPr>
        <w:drawing>
          <wp:inline distT="0" distB="0" distL="0" distR="0" wp14:anchorId="2ADE6C86" wp14:editId="31F61A09">
            <wp:extent cx="9525" cy="9525"/>
            <wp:effectExtent l="0" t="0" r="0" b="0"/>
            <wp:docPr id="137" name="Picture 137" descr="C:\wwwhome\database\text\lum\&amp;{DSMP.gEmptySrc}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wwwhome\database\text\lum\&amp;{DSMP.gEmptySrc};"/>
                    <pic:cNvPicPr>
                      <a:picLocks noChangeAspect="1" noChangeArrowheads="1"/>
                    </pic:cNvPicPr>
                  </pic:nvPicPr>
                  <pic:blipFill>
                    <a:blip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Parts 1 and 2. Technical Report 170-1. Vienna: Central Bureau of the Commission Internationale de l' Éclairage.</w:t>
      </w:r>
    </w:p>
    <w:p w:rsidR="009B743D" w:rsidRPr="00825A02" w:rsidRDefault="002D7241" w:rsidP="00825A02">
      <w:pPr>
        <w:pStyle w:val="NormalWeb"/>
        <w:rPr>
          <w:color w:val="000000"/>
        </w:rPr>
      </w:pPr>
      <w:r>
        <w:rPr>
          <w:color w:val="000000"/>
        </w:rPr>
        <w:t>Sharpe, L. T., Stockman, A., Jagla, W. &amp; J</w:t>
      </w:r>
      <w:r>
        <w:rPr>
          <w:color w:val="000000"/>
          <w:lang w:val="de-DE"/>
        </w:rPr>
        <w:t>ägle, H</w:t>
      </w:r>
      <w:r>
        <w:rPr>
          <w:color w:val="000000"/>
        </w:rPr>
        <w:t>.</w:t>
      </w:r>
      <w:r w:rsidRPr="00AD2E8B">
        <w:rPr>
          <w:color w:val="000000"/>
        </w:rPr>
        <w:t xml:space="preserve"> (201</w:t>
      </w:r>
      <w:r>
        <w:rPr>
          <w:color w:val="000000"/>
        </w:rPr>
        <w:t>1</w:t>
      </w:r>
      <w:r w:rsidRPr="00AD2E8B">
        <w:rPr>
          <w:color w:val="000000"/>
        </w:rPr>
        <w:t xml:space="preserve">). "A luminous efficiency function, </w:t>
      </w:r>
      <w:r>
        <w:rPr>
          <w:i/>
          <w:iCs/>
          <w:color w:val="000000"/>
        </w:rPr>
        <w:t>V*</w:t>
      </w:r>
      <w:r>
        <w:rPr>
          <w:color w:val="000000"/>
        </w:rPr>
        <w:t>(</w:t>
      </w:r>
      <w:r>
        <w:rPr>
          <w:rStyle w:val="mpentity1"/>
          <w:color w:val="000000"/>
        </w:rPr>
        <w:t>λ</w:t>
      </w:r>
      <w:r>
        <w:rPr>
          <w:color w:val="000000"/>
        </w:rPr>
        <w:t>)</w:t>
      </w:r>
      <w:r w:rsidRPr="00AD2E8B">
        <w:rPr>
          <w:color w:val="000000"/>
        </w:rPr>
        <w:t>, for daylight adaptation: a correction</w:t>
      </w:r>
      <w:r>
        <w:rPr>
          <w:color w:val="000000"/>
        </w:rPr>
        <w:t xml:space="preserve">." </w:t>
      </w:r>
      <w:r w:rsidRPr="00AD2E8B">
        <w:rPr>
          <w:i/>
          <w:color w:val="000000"/>
        </w:rPr>
        <w:t>Color Research &amp; Application, 36, 42-46</w:t>
      </w:r>
      <w:r w:rsidRPr="00AD2E8B">
        <w:rPr>
          <w:color w:val="000000"/>
        </w:rPr>
        <w:t>.</w:t>
      </w:r>
    </w:p>
    <w:sectPr w:rsidR="009B743D" w:rsidRPr="00825A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657"/>
    <w:multiLevelType w:val="hybridMultilevel"/>
    <w:tmpl w:val="AED6CF7E"/>
    <w:lvl w:ilvl="0" w:tplc="BC32481E">
      <w:start w:val="1"/>
      <w:numFmt w:val="decimal"/>
      <w:pStyle w:val="MTDisplayEquatio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558FB"/>
    <w:multiLevelType w:val="multilevel"/>
    <w:tmpl w:val="9A9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22DC4"/>
    <w:multiLevelType w:val="hybridMultilevel"/>
    <w:tmpl w:val="03A08C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2B7FF5"/>
    <w:multiLevelType w:val="multilevel"/>
    <w:tmpl w:val="A7A8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D0B26"/>
    <w:multiLevelType w:val="hybridMultilevel"/>
    <w:tmpl w:val="0C600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29"/>
    <w:rsid w:val="000B0F60"/>
    <w:rsid w:val="000F78FB"/>
    <w:rsid w:val="00114B00"/>
    <w:rsid w:val="001D4190"/>
    <w:rsid w:val="0021325B"/>
    <w:rsid w:val="00296B86"/>
    <w:rsid w:val="002D7241"/>
    <w:rsid w:val="004646DB"/>
    <w:rsid w:val="004B678D"/>
    <w:rsid w:val="005D6117"/>
    <w:rsid w:val="00757D6C"/>
    <w:rsid w:val="007E7C50"/>
    <w:rsid w:val="00804C04"/>
    <w:rsid w:val="00804EE9"/>
    <w:rsid w:val="00825A02"/>
    <w:rsid w:val="00847F2A"/>
    <w:rsid w:val="008E602F"/>
    <w:rsid w:val="009143ED"/>
    <w:rsid w:val="009B743D"/>
    <w:rsid w:val="00A109CE"/>
    <w:rsid w:val="00A86CA9"/>
    <w:rsid w:val="00AD2E8B"/>
    <w:rsid w:val="00AF3F31"/>
    <w:rsid w:val="00B511C4"/>
    <w:rsid w:val="00BD4B99"/>
    <w:rsid w:val="00BF2E81"/>
    <w:rsid w:val="00C34F12"/>
    <w:rsid w:val="00C77829"/>
    <w:rsid w:val="00CE27F1"/>
    <w:rsid w:val="00D03157"/>
    <w:rsid w:val="00E62B7F"/>
    <w:rsid w:val="00F2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/>
    <o:shapelayout v:ext="edit">
      <o:idmap v:ext="edit" data="1"/>
    </o:shapelayout>
  </w:shapeDefaults>
  <w:decimalSymbol w:val="."/>
  <w:listSeparator w:val=","/>
  <w15:docId w15:val="{9A236D3D-7F02-4451-9C7C-AA20C80A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847F2A"/>
    <w:pPr>
      <w:shd w:val="clear" w:color="auto" w:fill="FF0000"/>
      <w:spacing w:before="100" w:beforeAutospacing="1" w:after="100" w:afterAutospacing="1"/>
      <w:outlineLvl w:val="1"/>
    </w:pPr>
    <w:rPr>
      <w:rFonts w:ascii="Arial" w:hAnsi="Arial" w:cs="Arial"/>
      <w:color w:val="000000"/>
      <w:sz w:val="33"/>
      <w:szCs w:val="33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4EE9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47F2A"/>
    <w:rPr>
      <w:rFonts w:ascii="Arial" w:hAnsi="Arial" w:cs="Arial"/>
      <w:color w:val="000000"/>
      <w:sz w:val="33"/>
      <w:szCs w:val="33"/>
      <w:shd w:val="clear" w:color="auto" w:fill="FF0000"/>
    </w:rPr>
  </w:style>
  <w:style w:type="character" w:styleId="Emphasis">
    <w:name w:val="Emphasis"/>
    <w:basedOn w:val="DefaultParagraphFont"/>
    <w:uiPriority w:val="20"/>
    <w:qFormat/>
    <w:rsid w:val="00AD2E8B"/>
    <w:rPr>
      <w:i/>
      <w:iCs/>
    </w:rPr>
  </w:style>
  <w:style w:type="character" w:customStyle="1" w:styleId="mpentity1">
    <w:name w:val="mpentity1"/>
    <w:basedOn w:val="DefaultParagraphFont"/>
    <w:rsid w:val="00AD2E8B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9143ED"/>
    <w:pPr>
      <w:ind w:left="720"/>
      <w:contextualSpacing/>
    </w:pPr>
  </w:style>
  <w:style w:type="character" w:customStyle="1" w:styleId="MTConvertedEquation">
    <w:name w:val="MTConvertedEquation"/>
    <w:basedOn w:val="DefaultParagraphFont"/>
    <w:rsid w:val="001D4190"/>
    <w:rPr>
      <w:rFonts w:ascii="Cambria Math" w:hAnsi="Cambria Math"/>
      <w:i/>
    </w:rPr>
  </w:style>
  <w:style w:type="paragraph" w:customStyle="1" w:styleId="MTDisplayEquation">
    <w:name w:val="MTDisplayEquation"/>
    <w:basedOn w:val="Normal"/>
    <w:next w:val="Normal"/>
    <w:link w:val="MTDisplayEquationChar"/>
    <w:rsid w:val="00825A02"/>
    <w:pPr>
      <w:numPr>
        <w:numId w:val="4"/>
      </w:numPr>
      <w:tabs>
        <w:tab w:val="center" w:pos="504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825A0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file:///C:\wwwhome\database\text\lum\&amp;%7bDSMP.gEmptySrc%7d;" TargetMode="Externa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634</Words>
  <Characters>3353</Characters>
  <Application>Microsoft Office Word</Application>
  <DocSecurity>0</DocSecurity>
  <Lines>74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CIE 1964 10-deg CMFs</vt:lpstr>
    </vt:vector>
  </TitlesOfParts>
  <Company>IoO</Company>
  <LinksUpToDate>false</LinksUpToDate>
  <CharactersWithSpaces>3950</CharactersWithSpaces>
  <SharedDoc>false</SharedDoc>
  <HLinks>
    <vt:vector size="6" baseType="variant">
      <vt:variant>
        <vt:i4>7209019</vt:i4>
      </vt:variant>
      <vt:variant>
        <vt:i4>15</vt:i4>
      </vt:variant>
      <vt:variant>
        <vt:i4>0</vt:i4>
      </vt:variant>
      <vt:variant>
        <vt:i4>5</vt:i4>
      </vt:variant>
      <vt:variant>
        <vt:lpwstr>sbrgb10.htm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 1964 10-deg CMFs</dc:title>
  <dc:creator>Andrew Stockman</dc:creator>
  <cp:lastModifiedBy>Andrew Stockman</cp:lastModifiedBy>
  <cp:revision>6</cp:revision>
  <dcterms:created xsi:type="dcterms:W3CDTF">2016-08-09T09:31:00Z</dcterms:created>
  <dcterms:modified xsi:type="dcterms:W3CDTF">2016-08-09T09:37:00Z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IE5Win">
    <vt:bool>false</vt:bool>
  </property>
  <property fmtid="{D5CDD505-2E9C-101B-9397-08002B2CF9AE}" pid="3" name="MTWinEqns">
    <vt:bool>true</vt:bool>
  </property>
  <property fmtid="{D5CDD505-2E9C-101B-9397-08002B2CF9AE}" pid="4" name="MP_HTMLDest">
    <vt:lpwstr>C:\wwwhome\database\text\cienewxyz\cie2012xyz10.htm</vt:lpwstr>
  </property>
  <property fmtid="{D5CDD505-2E9C-101B-9397-08002B2CF9AE}" pid="5" name="MP_MathMLTarget">
    <vt:lpwstr>XHTML+MathML</vt:lpwstr>
  </property>
  <property fmtid="{D5CDD505-2E9C-101B-9397-08002B2CF9AE}" pid="6" name="MP_OpenInBrowser">
    <vt:bool>true</vt:bool>
  </property>
  <property fmtid="{D5CDD505-2E9C-101B-9397-08002B2CF9AE}" pid="7" name="MP_UseMathML">
    <vt:bool>false</vt:bool>
  </property>
  <property fmtid="{D5CDD505-2E9C-101B-9397-08002B2CF9AE}" pid="8" name="MP_MathZoom">
    <vt:bool>false</vt:bool>
  </property>
  <property fmtid="{D5CDD505-2E9C-101B-9397-08002B2CF9AE}" pid="9" name="MP_IEOnly">
    <vt:bool>false</vt:bool>
  </property>
</Properties>
</file>